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tulo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Diplomado en Gestión de Organizaciones Deportivas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El deporte es uno de los fenómenos sociales propios de nuestra cultura, este fenómeno cobra vida en las actividades cotidianas de nuestra población sin distinción de edad, género o diferenciación social. Esta es una realidad que nos atraviesa y forma parte de nuestra cotidianeidad. El deporte es parte de nuestra vida, en tantos somos sujetos sociales.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La práctica deportiva se desarrolla en innumerables organizaciones sociales tales como clubes deportivos, uniones vecinales, polideportivos municipales e instituciones educativas, entre otros. Estas estructuras organizacionales sumadas a las federaciones y asociaciones del deporte competitivo, conforma una red determinante de las propuestas y posibilidades que hacen a la actividad.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El propósito de este ciclo de formación es concretar un espacio que permita construir y compartir conocimiento, generar habilidades y capacidades en los actores responsables e intervinientes en las organizaciones deportivas. Esta propuesta implica ofrecerles una serie de módulos desde un enfoque integrador que le permitan ampliar la mirada del fenómeno deportivo para poder anticiparse a los acontecimientos futuros, con el fin de generar y aplicar estrategias de acción para asegurar una gestión acorde a las nuevas demandas que se presentarán.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Ha sido organizado por Facultad de Ciencias Médicas, Facultad de Ciencias Económicas, Secretar</w:t>
      </w:r>
      <w:r w:rsidDel="00000000" w:rsidR="00000000" w:rsidRPr="00000000">
        <w:rPr>
          <w:rFonts w:ascii="Arial" w:cs="Arial" w:eastAsia="Arial" w:hAnsi="Arial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 de Bienestar (Dirección Gral de Deportes, Recreación y Turismo) y la Secretaria de Deportes de la Provincia de Mendoza.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Objetivo: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Este diplomado tiene por fin brindar una formación de excelencia a dirigentes, líderes, profesionales, miembros del quehacer deportivo y toda aquella persona que tenga interés en desempeñarse en este sector, que les permita reflexionar y fortalecer la gestión sustentable de las organizaciones deportivas.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En el mismo se apunta a que el alumno: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35" w:line="240" w:lineRule="auto"/>
        <w:ind w:left="567" w:hanging="283"/>
        <w:rPr>
          <w:color w:val="00000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Aprenda las principales herramientas de gestión para fortalecer la administración económica financiera de las organizaciones deportivas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35" w:line="240" w:lineRule="auto"/>
        <w:ind w:left="567" w:hanging="283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Concrete una formación en el campo de la salud, que permita reconocer las acciones directas para propiciar organizaciones deportivas saludables.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35" w:line="240" w:lineRule="auto"/>
        <w:ind w:left="567" w:hanging="283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Desarrolle capacidades para diagnosticar, planificar, generar iniciativas y animar procesos sostenidos de gestión deportiva a partir del aprovechamiento y la potenciación de los recursos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line="240" w:lineRule="auto"/>
        <w:ind w:left="567" w:hanging="283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Reconozca los marcos legales que regulan la vida institucional, para generar acciones que se enmarquen dentro de la legislación vigente y permitan un accionar conforme a la norma.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after="0" w:line="24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Destinatarios: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Está dirigido al personal de organizaciones públicas, privadas y sociales, profesionales o no. Podrán admitirse personas que no estén en actividad laboral, las que se vincularán con alguna organización para poder llevar adelante actividades prácticas involucradas en el desarrollo del diplomado.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Cupo mínimo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de 30 estudiantes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Duración y carga horaria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El diplomado tiene una duración de </w:t>
      </w:r>
      <w:r w:rsidDel="00000000" w:rsidR="00000000" w:rsidRPr="00000000">
        <w:rPr>
          <w:rFonts w:ascii="Arial" w:cs="Arial" w:eastAsia="Arial" w:hAnsi="Arial"/>
          <w:rtl w:val="0"/>
        </w:rPr>
        <w:t xml:space="preserve">144 horas, 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se estructurarán </w:t>
      </w:r>
      <w:r w:rsidDel="00000000" w:rsidR="00000000" w:rsidRPr="00000000">
        <w:rPr>
          <w:rFonts w:ascii="Arial" w:cs="Arial" w:eastAsia="Arial" w:hAnsi="Arial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encuentros presenciales y actividades no presenciales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Requisitos y evaluación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Se requiere la asistencia a las clases presenciales obligatorias y podrán justificarse hasta el 20% de las inasistencias y el desarrollo de actividades no presenciales. Se  prevé la evaluación de cada uno de asignaturas, debiendo alcanzarse al menos el 60% del puntaje asignado a las mismas. Aprobadas todas las evaluaciones de los módulos, el participante deberá presentar y aprobar un trabajo integrador escrito.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Certificación a otorgar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Una vez cumplido los requisitos del diplomado y aprobadas la totalidad de las obligaciones curriculares, se entregará  el certificado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“Diplomado en Gestión de Organizaciones Deportivas”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otorgado por la Facultad de Ciencias Médicas y la Facultad de Ciencias Económicas de la Universidad Nacional de Cuyo, firmado por sus respectivos Decanos.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Plan de estudio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Se desarroll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a través de clases teórico-práctico desarrolladas en los encuentros presenciales por módulos, con actividades curriculares abiertas, y se prevé la realización de conferencias a cargo de invitados especiales expertos y referentes de las temáticas a abordar, que fortalecerán los conocimientos impartidos.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04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1"/>
        <w:gridCol w:w="3685"/>
        <w:gridCol w:w="4394"/>
        <w:gridCol w:w="284"/>
        <w:tblGridChange w:id="0">
          <w:tblGrid>
            <w:gridCol w:w="741"/>
            <w:gridCol w:w="3685"/>
            <w:gridCol w:w="4394"/>
            <w:gridCol w:w="284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ASIGNATURA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DESCRIPTORES</w:t>
            </w:r>
          </w:p>
        </w:tc>
      </w:tr>
      <w:tr>
        <w:trPr>
          <w:trHeight w:val="1120" w:hRule="atLeast"/>
        </w:trP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MODULO DEPORTE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Gestión del Deporte Social y Comunitario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Concepto, objetivos, características y potencialidades del deporte social y comunitario, su contexto regional, nacional e internacional.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Procesos del deporte social y comunitario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Experiencias en el campo del deporte social y comunitario</w:t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Gestión del Deporte de Rendimiento/Competitivo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Alcances teórico-prácticos de los conceptos de rendimiento y competencia deportiva.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Características, objetivos y potencialidades del deporte competitivo y de rendimiento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Tensiones entre la formación deportiva, la competencia y el alto rendimiento.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ENARD, pasado, presente y futuro del alto rendimiento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 realidad mendocina del deporte de rendimiento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 gestión de las organizaciones con propuestas de deporte competitivo y de rendimiento.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Planeamiento Deportivo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72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Planeamiento Estratégico. Componentes. Proceso y claves para su realización.</w:t>
            </w:r>
          </w:p>
          <w:p w:rsidR="00000000" w:rsidDel="00000000" w:rsidP="00000000" w:rsidRDefault="00000000" w:rsidRPr="00000000">
            <w:pPr>
              <w:pBdr/>
              <w:tabs>
                <w:tab w:val="left" w:pos="363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 de Gestión.</w:t>
              <w:tab/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Formulación de Proyectos Deportivos. Proceso y herramientas para su realización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Políticas deportivas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La política deportiva nacional y provincial. Características y particularidades de la política actual.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La política deportiva y su impacto en la sociedad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Una propuesta que aborda las diferentes aristas del fenómeno social.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Los proyectos deportivos en el campo de la gestión. Experiencias en diferentes niveles gubernamentales y en organizaciones civiles.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MODULO ADMINISTRACIÓN 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Gestión de las personas en organizaciones deportivas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Gestión de personas en las organizaciones deportivas. Mercado laboral. Sistema de personal: selección, capacitación, desarrollo y evaluación. Relaciones Laborales. Seguridad e Higiene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Comunicación organizacional.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Equipos de trabajos.  </w:t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Marco normativo de la gestión deportiva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Figuras jurídicas públicas y privadas de las organizaciones.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Legislación laboral, convenios colectivos, contrataciones.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Normativa vigente para la vida institucional de organizaciones públicas y de organizaciones privadas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Lo legal y lo ético. Tensiones que atraviesan la realidad deportiva.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Responsabilidad civil en el ámbito de la actividad deportiva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gestión económico financiera de las organizaciones deportivas.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 gestión económico-financiera de las organizaciones deportivas. Estructura de costos. Fuentes de financiamiento.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Formulación, ejecución y control presupuestario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Análisis de la formas de inversión.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Gestión comercial de Entidades Deportivas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Teoría de las organizaciones.  Principios de gestión. La organización como sistema social, cultural y deportivo. Estructura, conceptos e instrumentos de gestión. Contexto de las organizaciones deportivas.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 Marketing en las entidades deportiva: Técnicas de comercialización. Análisis de mercados. Estrategias competitivas y de comunicación.  Desarrollo de Imagen.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Gestión de eventos deportivos. Tipos de eventos. Planificación, organización, ejecución y control de eventos especiales.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MODULO SALUD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Gestión de organizaciones saludables.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Requisitos de las organizaciones saludables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Cómo construir organizaciones saludables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Protocolos de acción. Estructura Edilicia. Marco 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Reconocimiento Médico-Deportivo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Evaluación de aptitud física. Historia clínica, antecedentes personales y familiares, exámenes complementarios. Periodicidad de controles. Consensos Nacionales. Aptitud física según sexo, edad y comórbidas.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Muerte súbita. Epidemiología, causas y prevención. RCP básico y DEA. Taller de RCP. (Podría participar la Asociación Mendocina de Anestesiología)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Nutrición del deportista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Alimentación saludable. Valoración nutricional. Hidratación del deportista.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Ayudas ergogénicas y suplementos. Doping. Utilidad y peligros. Normativa legal. Impacto en la salud del deportista. Medicaciones aceptadas.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9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322"/>
        <w:gridCol w:w="1473"/>
        <w:tblGridChange w:id="0">
          <w:tblGrid>
            <w:gridCol w:w="9322"/>
            <w:gridCol w:w="1473"/>
          </w:tblGrid>
        </w:tblGridChange>
      </w:tblGrid>
      <w:tr>
        <w:trPr>
          <w:trHeight w:val="32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Docentes: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Prof. Federico Chiappeta; Lic. Rodrigo Araya; Lic. Alejandro Herrera; Lic. Daniela Dubais; Lic. Thelma Barrera; Lic. Sergio Abogado Salcedo; Cont. Marcela Asensio; Lic Santiago Emiliano Eguren; Mg. Patricia Puebla; Méd. Laura Villanueva; Méd. Edgar Lascan; Méd. Pablo Pescetti; Méd. Alejandro Vizcaya; Lic. Claudia M. Sacchero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Fecha de inicio del cursado: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1 de agosto de 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Lugar cursado habitual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 Facultad de Ciencias Económicas, salvo actividades de outdoors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Inicio de las inscripciones: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22 de junio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Informes e inscripciones: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Secretar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 de extensión y Relaciones Institucionales -Facultad de Ciencias Económicas UNCuyo -  Tel. 4494009 - internos 2420 / 2500 -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u w:val="none"/>
                <w:rtl w:val="0"/>
              </w:rPr>
              <w:t xml:space="preserve">diplomado.organizacionesdeportivas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u w:val="none"/>
                  <w:vertAlign w:val="baseline"/>
                  <w:rtl w:val="0"/>
                </w:rPr>
                <w:t xml:space="preserve">@fce.uncu.edu.ar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Valor y Forma de pago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: $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.000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a cancelar de la siguiente forma: en una cuota de inscripción de $2.000 y 4 cuotas mensuales iguales de $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0 a través de transferencia electrónica.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color w:val="500050"/>
              </w:rPr>
            </w:pPr>
            <w:r w:rsidDel="00000000" w:rsidR="00000000" w:rsidRPr="00000000">
              <w:rPr>
                <w:rFonts w:ascii="Arial" w:cs="Arial" w:eastAsia="Arial" w:hAnsi="Arial"/>
                <w:color w:val="50005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DATOS ASOC. COOPERADORA: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Arial" w:cs="Arial" w:eastAsia="Arial" w:hAnsi="Arial"/>
                <w:i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Asociación Cooperadora FCE UNCuyo (IVA EXENTO)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Cuenta Corriente Nº 234-1-246-1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CUIT 30-64825311-3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C.B.U. 00702463-20000000234119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both"/>
              <w:rPr>
                <w:rFonts w:ascii="Arial" w:cs="Arial" w:eastAsia="Arial" w:hAnsi="Arial"/>
                <w:i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rtl w:val="0"/>
              </w:rPr>
              <w:t xml:space="preserve">Banco Galicia Sucursal 246 Arístides Villanueva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rtl w:val="0"/>
              </w:rPr>
              <w:t xml:space="preserve">Una vez realizado el depósito o transferencia, enviar comprobante virtual o scaneado por mail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(diplomado.organizacionesdeportivas@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u w:val="single"/>
                  <w:rtl w:val="0"/>
                </w:rPr>
                <w:t xml:space="preserve">fce.uncu.edu.ar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22222"/>
                <w:rtl w:val="0"/>
              </w:rPr>
              <w:t xml:space="preserve"> indicando nombre de la persona.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extension@fce.uncu.edu.ar" TargetMode="External"/><Relationship Id="rId6" Type="http://schemas.openxmlformats.org/officeDocument/2006/relationships/hyperlink" Target="http://fce.uncu.edu.ar/" TargetMode="External"/></Relationships>
</file>